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90" w:rsidRDefault="00AF4090" w:rsidP="00AF4090">
      <w:pPr>
        <w:jc w:val="center"/>
        <w:rPr>
          <w:b/>
          <w:sz w:val="32"/>
        </w:rPr>
      </w:pPr>
      <w:bookmarkStart w:id="0" w:name="_Toc151290614"/>
      <w:r>
        <w:rPr>
          <w:b/>
          <w:sz w:val="32"/>
        </w:rPr>
        <w:t>Загрузка заказов из почты и создание документов в 1С УТ 11</w:t>
      </w:r>
    </w:p>
    <w:p w:rsidR="00AF4090" w:rsidRDefault="00AF4090" w:rsidP="00AF4090">
      <w:pPr>
        <w:pStyle w:val="1"/>
      </w:pPr>
      <w:r>
        <w:t>Ус</w:t>
      </w:r>
      <w:bookmarkEnd w:id="0"/>
      <w:r>
        <w:t>тановка обработки.</w:t>
      </w:r>
    </w:p>
    <w:p w:rsidR="00AF4090" w:rsidRDefault="00AF4090" w:rsidP="00AF4090">
      <w:pPr>
        <w:ind w:firstLine="709"/>
        <w:jc w:val="both"/>
      </w:pPr>
      <w:r>
        <w:t xml:space="preserve">Обработка устанавливается из меню «Администрирование» пользователем с полными правами </w:t>
      </w:r>
    </w:p>
    <w:p w:rsidR="00AF4090" w:rsidRDefault="00AF4090" w:rsidP="00AF4090">
      <w:pPr>
        <w:pStyle w:val="1"/>
      </w:pPr>
      <w:r>
        <w:t>Настройка обработки.</w:t>
      </w:r>
    </w:p>
    <w:p w:rsidR="00F56954" w:rsidRPr="00F56954" w:rsidRDefault="00F56954" w:rsidP="00F56954">
      <w:r>
        <w:t>Первоначальные настройки находятся на закладке «Настройки»</w:t>
      </w:r>
    </w:p>
    <w:p w:rsidR="00AF4090" w:rsidRPr="00F56954" w:rsidRDefault="00F56954" w:rsidP="00AF4090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916214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54" w:rsidRPr="00A763C1" w:rsidRDefault="00F56954" w:rsidP="00AF4090">
      <w:pPr>
        <w:ind w:firstLine="709"/>
        <w:jc w:val="both"/>
      </w:pPr>
      <w:r>
        <w:t xml:space="preserve">В разделе «Настройки </w:t>
      </w:r>
      <w:proofErr w:type="spellStart"/>
      <w:r>
        <w:t>E-mail</w:t>
      </w:r>
      <w:proofErr w:type="spellEnd"/>
      <w:r>
        <w:t>»</w:t>
      </w:r>
      <w:r w:rsidR="00A763C1">
        <w:t xml:space="preserve"> задаются параметры доступа к почтовому ящику – адрес и порт сервера IMAP, имя пользователя и пароль.</w:t>
      </w:r>
    </w:p>
    <w:p w:rsidR="00AF4090" w:rsidRDefault="00AF4090" w:rsidP="00AF4090">
      <w:pPr>
        <w:ind w:firstLine="709"/>
        <w:jc w:val="both"/>
      </w:pPr>
      <w:r>
        <w:t xml:space="preserve">В настройках почтового сервера </w:t>
      </w:r>
      <w:r w:rsidR="00A763C1">
        <w:t xml:space="preserve">(на сайте) </w:t>
      </w:r>
      <w:r>
        <w:t>необходимо настроить возможность доступа к данным через IMAP-протокол</w:t>
      </w:r>
      <w:r w:rsidR="001133B1">
        <w:t xml:space="preserve"> (</w:t>
      </w:r>
      <w:r w:rsidR="001133B1" w:rsidRPr="001133B1">
        <w:t>https://yandex.ru/support/mail/mail-clients/others.html</w:t>
      </w:r>
      <w:r w:rsidR="001133B1">
        <w:t>)</w:t>
      </w:r>
      <w:r>
        <w:t xml:space="preserve">. Затем требуется задать адрес </w:t>
      </w:r>
      <w:r>
        <w:rPr>
          <w:lang w:val="en-US"/>
        </w:rPr>
        <w:t>IMAP</w:t>
      </w:r>
      <w:r w:rsidRPr="00AF4090">
        <w:t>-</w:t>
      </w:r>
      <w:r>
        <w:t>сервера, имя пользователя и пароль.</w:t>
      </w:r>
    </w:p>
    <w:p w:rsidR="00AF4090" w:rsidRDefault="00AF4090" w:rsidP="00AF4090">
      <w:pPr>
        <w:ind w:firstLine="709"/>
        <w:jc w:val="both"/>
      </w:pPr>
      <w:r>
        <w:t xml:space="preserve">Есть кнопки для настройки адреса сервера и порта для </w:t>
      </w:r>
      <w:proofErr w:type="spellStart"/>
      <w:r>
        <w:t>yandex.ru</w:t>
      </w:r>
      <w:proofErr w:type="spellEnd"/>
      <w:r>
        <w:t xml:space="preserve"> и </w:t>
      </w:r>
      <w:proofErr w:type="spellStart"/>
      <w:r>
        <w:t>mail.ru</w:t>
      </w:r>
      <w:proofErr w:type="spellEnd"/>
      <w:r>
        <w:t>. Для этих почтовых серверов в настоящее время нельзя использовать пароли пользователя, необходимо создать пароли для внешних приложений.</w:t>
      </w:r>
    </w:p>
    <w:p w:rsidR="00AF4090" w:rsidRDefault="00AF4090" w:rsidP="00AF4090">
      <w:pPr>
        <w:ind w:firstLine="709"/>
        <w:jc w:val="both"/>
      </w:pPr>
      <w:r>
        <w:t xml:space="preserve">Подробнее </w:t>
      </w:r>
      <w:r w:rsidR="00F56954">
        <w:t xml:space="preserve">в документации этих сервисов </w:t>
      </w:r>
      <w:r>
        <w:t>по ссылкам:</w:t>
      </w:r>
    </w:p>
    <w:p w:rsidR="00AF4090" w:rsidRDefault="001B3234" w:rsidP="00AF4090">
      <w:pPr>
        <w:ind w:firstLine="709"/>
        <w:jc w:val="both"/>
      </w:pPr>
      <w:hyperlink r:id="rId5" w:history="1">
        <w:r w:rsidR="00AF4090" w:rsidRPr="006D2B39">
          <w:rPr>
            <w:rStyle w:val="a5"/>
          </w:rPr>
          <w:t>https://yandex.ru/support/mail/mail-clients/others.html</w:t>
        </w:r>
      </w:hyperlink>
    </w:p>
    <w:p w:rsidR="00AF4090" w:rsidRDefault="001B3234" w:rsidP="00AF4090">
      <w:pPr>
        <w:ind w:firstLine="709"/>
        <w:jc w:val="both"/>
      </w:pPr>
      <w:hyperlink r:id="rId6" w:history="1">
        <w:r w:rsidR="00AF4090" w:rsidRPr="006D2B39">
          <w:rPr>
            <w:rStyle w:val="a5"/>
          </w:rPr>
          <w:t>https://help.mail.ru/mail/security/protection/external/</w:t>
        </w:r>
      </w:hyperlink>
    </w:p>
    <w:p w:rsidR="00AF4090" w:rsidRDefault="001B3234" w:rsidP="00AF4090">
      <w:pPr>
        <w:ind w:firstLine="709"/>
        <w:jc w:val="both"/>
      </w:pPr>
      <w:hyperlink r:id="rId7" w:history="1">
        <w:r w:rsidR="001133B1" w:rsidRPr="006D2B39">
          <w:rPr>
            <w:rStyle w:val="a5"/>
            <w:lang w:val="en-US"/>
          </w:rPr>
          <w:t>https</w:t>
        </w:r>
        <w:r w:rsidR="001133B1" w:rsidRPr="006D2B39">
          <w:rPr>
            <w:rStyle w:val="a5"/>
          </w:rPr>
          <w:t>://</w:t>
        </w:r>
        <w:r w:rsidR="001133B1" w:rsidRPr="006D2B39">
          <w:rPr>
            <w:rStyle w:val="a5"/>
            <w:lang w:val="en-US"/>
          </w:rPr>
          <w:t>help</w:t>
        </w:r>
        <w:r w:rsidR="001133B1" w:rsidRPr="006D2B39">
          <w:rPr>
            <w:rStyle w:val="a5"/>
          </w:rPr>
          <w:t>.</w:t>
        </w:r>
        <w:r w:rsidR="001133B1" w:rsidRPr="006D2B39">
          <w:rPr>
            <w:rStyle w:val="a5"/>
            <w:lang w:val="en-US"/>
          </w:rPr>
          <w:t>mail</w:t>
        </w:r>
        <w:r w:rsidR="001133B1" w:rsidRPr="006D2B39">
          <w:rPr>
            <w:rStyle w:val="a5"/>
          </w:rPr>
          <w:t>.</w:t>
        </w:r>
        <w:proofErr w:type="spellStart"/>
        <w:r w:rsidR="001133B1" w:rsidRPr="006D2B39">
          <w:rPr>
            <w:rStyle w:val="a5"/>
            <w:lang w:val="en-US"/>
          </w:rPr>
          <w:t>ru</w:t>
        </w:r>
        <w:proofErr w:type="spellEnd"/>
        <w:r w:rsidR="001133B1" w:rsidRPr="006D2B39">
          <w:rPr>
            <w:rStyle w:val="a5"/>
          </w:rPr>
          <w:t>/</w:t>
        </w:r>
        <w:r w:rsidR="001133B1" w:rsidRPr="006D2B39">
          <w:rPr>
            <w:rStyle w:val="a5"/>
            <w:lang w:val="en-US"/>
          </w:rPr>
          <w:t>mail</w:t>
        </w:r>
        <w:r w:rsidR="001133B1" w:rsidRPr="006D2B39">
          <w:rPr>
            <w:rStyle w:val="a5"/>
          </w:rPr>
          <w:t>/</w:t>
        </w:r>
        <w:r w:rsidR="001133B1" w:rsidRPr="006D2B39">
          <w:rPr>
            <w:rStyle w:val="a5"/>
            <w:lang w:val="en-US"/>
          </w:rPr>
          <w:t>mailer</w:t>
        </w:r>
        <w:r w:rsidR="001133B1" w:rsidRPr="006D2B39">
          <w:rPr>
            <w:rStyle w:val="a5"/>
          </w:rPr>
          <w:t>/</w:t>
        </w:r>
        <w:proofErr w:type="spellStart"/>
        <w:r w:rsidR="001133B1" w:rsidRPr="006D2B39">
          <w:rPr>
            <w:rStyle w:val="a5"/>
            <w:lang w:val="en-US"/>
          </w:rPr>
          <w:t>popsmtp</w:t>
        </w:r>
        <w:proofErr w:type="spellEnd"/>
        <w:r w:rsidR="001133B1" w:rsidRPr="006D2B39">
          <w:rPr>
            <w:rStyle w:val="a5"/>
          </w:rPr>
          <w:t>/</w:t>
        </w:r>
      </w:hyperlink>
    </w:p>
    <w:p w:rsidR="00AF4090" w:rsidRDefault="00FD711E" w:rsidP="00AF4090">
      <w:pPr>
        <w:ind w:firstLine="709"/>
        <w:jc w:val="both"/>
      </w:pPr>
      <w:r>
        <w:t>Для хранения идентификатора письма необходимо создать дополнительное свойство документа «Заказ клиента»</w:t>
      </w:r>
      <w:r w:rsidR="00F56954">
        <w:t xml:space="preserve"> (кнопка вызывается из списка заказов клиентов, или из формы документа «Заказ клиента»)</w:t>
      </w:r>
      <w:r>
        <w:t>:</w:t>
      </w:r>
    </w:p>
    <w:p w:rsidR="00FD711E" w:rsidRDefault="00FD711E" w:rsidP="00FD711E">
      <w:pPr>
        <w:jc w:val="both"/>
      </w:pPr>
      <w:r>
        <w:rPr>
          <w:noProof/>
          <w:lang w:eastAsia="ru-RU"/>
        </w:rPr>
        <w:drawing>
          <wp:inline distT="0" distB="0" distL="0" distR="0">
            <wp:extent cx="4402825" cy="157522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25" cy="157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FD711E" w:rsidP="00FD711E">
      <w:pPr>
        <w:jc w:val="both"/>
      </w:pPr>
      <w:r>
        <w:rPr>
          <w:noProof/>
          <w:lang w:eastAsia="ru-RU"/>
        </w:rPr>
        <w:drawing>
          <wp:inline distT="0" distB="0" distL="0" distR="0">
            <wp:extent cx="3597607" cy="818041"/>
            <wp:effectExtent l="19050" t="0" r="284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62" cy="81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FD711E" w:rsidP="00FD711E">
      <w:pPr>
        <w:jc w:val="both"/>
      </w:pPr>
      <w:r>
        <w:rPr>
          <w:noProof/>
          <w:lang w:eastAsia="ru-RU"/>
        </w:rPr>
        <w:drawing>
          <wp:inline distT="0" distB="0" distL="0" distR="0">
            <wp:extent cx="3106288" cy="835868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00" cy="83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8D7582" w:rsidP="00AF4090">
      <w:pPr>
        <w:ind w:firstLine="709"/>
        <w:jc w:val="both"/>
      </w:pPr>
      <w:r>
        <w:t>Для корректного сопоставления номенклатуры и заполнения документов необходимо добавить вид номенклатуры, организацию и склад.</w:t>
      </w:r>
    </w:p>
    <w:p w:rsidR="008D7582" w:rsidRDefault="008D7582" w:rsidP="008D7582">
      <w:pPr>
        <w:ind w:firstLine="709"/>
        <w:jc w:val="both"/>
      </w:pPr>
      <w:r>
        <w:t>Если необходимо учитывать тип вложения и загружать только файлы с типами: "</w:t>
      </w:r>
      <w:proofErr w:type="spellStart"/>
      <w:r>
        <w:t>application</w:t>
      </w:r>
      <w:proofErr w:type="spellEnd"/>
      <w:r>
        <w:t>/</w:t>
      </w:r>
      <w:proofErr w:type="spellStart"/>
      <w:r>
        <w:t>vnd.ms-excel</w:t>
      </w:r>
      <w:proofErr w:type="spellEnd"/>
      <w:r>
        <w:t xml:space="preserve">", </w:t>
      </w:r>
      <w:r w:rsidRPr="008D7582">
        <w:t>"</w:t>
      </w:r>
      <w:r w:rsidRPr="008D7582">
        <w:rPr>
          <w:lang w:val="en-US"/>
        </w:rPr>
        <w:t>application</w:t>
      </w:r>
      <w:r w:rsidRPr="008D7582">
        <w:t>/</w:t>
      </w:r>
      <w:r w:rsidRPr="008D7582">
        <w:rPr>
          <w:lang w:val="en-US"/>
        </w:rPr>
        <w:t>octet</w:t>
      </w:r>
      <w:r w:rsidRPr="008D7582">
        <w:t>-</w:t>
      </w:r>
      <w:r w:rsidRPr="008D7582">
        <w:rPr>
          <w:lang w:val="en-US"/>
        </w:rPr>
        <w:t>stream</w:t>
      </w:r>
      <w:r w:rsidRPr="008D7582">
        <w:t>"</w:t>
      </w:r>
      <w:r>
        <w:t xml:space="preserve">, </w:t>
      </w:r>
      <w:r w:rsidRPr="008D7582">
        <w:t>"</w:t>
      </w:r>
      <w:r w:rsidRPr="008D7582">
        <w:rPr>
          <w:lang w:val="en-US"/>
        </w:rPr>
        <w:t>application</w:t>
      </w:r>
      <w:r w:rsidRPr="008D7582">
        <w:t>/</w:t>
      </w:r>
      <w:r>
        <w:t xml:space="preserve"> </w:t>
      </w:r>
      <w:proofErr w:type="spellStart"/>
      <w:r w:rsidRPr="008D7582">
        <w:rPr>
          <w:lang w:val="en-US"/>
        </w:rPr>
        <w:t>vnd</w:t>
      </w:r>
      <w:proofErr w:type="spellEnd"/>
      <w:r w:rsidRPr="008D7582">
        <w:t>.</w:t>
      </w:r>
      <w:proofErr w:type="spellStart"/>
      <w:r w:rsidRPr="008D7582">
        <w:rPr>
          <w:lang w:val="en-US"/>
        </w:rPr>
        <w:t>openxmlformats</w:t>
      </w:r>
      <w:proofErr w:type="spellEnd"/>
      <w:r w:rsidRPr="008D7582">
        <w:t>-</w:t>
      </w:r>
      <w:proofErr w:type="spellStart"/>
      <w:r w:rsidRPr="008D7582">
        <w:rPr>
          <w:lang w:val="en-US"/>
        </w:rPr>
        <w:t>officedocument</w:t>
      </w:r>
      <w:proofErr w:type="spellEnd"/>
      <w:r w:rsidRPr="008D7582">
        <w:t>.</w:t>
      </w:r>
      <w:proofErr w:type="spellStart"/>
      <w:r w:rsidRPr="008D7582">
        <w:rPr>
          <w:lang w:val="en-US"/>
        </w:rPr>
        <w:t>spreadsheetml</w:t>
      </w:r>
      <w:proofErr w:type="spellEnd"/>
      <w:r w:rsidRPr="008D7582">
        <w:t>.</w:t>
      </w:r>
      <w:r w:rsidRPr="008D7582">
        <w:rPr>
          <w:lang w:val="en-US"/>
        </w:rPr>
        <w:t>sheet</w:t>
      </w:r>
      <w:r w:rsidRPr="008D7582">
        <w:t>"</w:t>
      </w:r>
      <w:r>
        <w:t>, "</w:t>
      </w:r>
      <w:proofErr w:type="spellStart"/>
      <w:r>
        <w:t>text</w:t>
      </w:r>
      <w:proofErr w:type="spellEnd"/>
      <w:r>
        <w:t>/</w:t>
      </w:r>
      <w:proofErr w:type="spellStart"/>
      <w:r>
        <w:t>plain</w:t>
      </w:r>
      <w:proofErr w:type="spellEnd"/>
      <w:r>
        <w:t>", тогда устанавливается соответствующая галочка</w:t>
      </w:r>
      <w:r w:rsidR="00A763C1">
        <w:t xml:space="preserve"> «Учитывать тип вложения»</w:t>
      </w:r>
      <w:r w:rsidR="00D47091">
        <w:t>.</w:t>
      </w:r>
    </w:p>
    <w:p w:rsidR="00D47091" w:rsidRDefault="00D47091" w:rsidP="008D7582">
      <w:pPr>
        <w:ind w:firstLine="709"/>
        <w:jc w:val="both"/>
      </w:pPr>
      <w:r>
        <w:t>Часто артикулы не заполнены или заполнены некорректно, поэтому можно искать только по артикулу. Если не будет установлен флажок «Создавать номенклатуру», тогда новые товары создаваться не будут.</w:t>
      </w:r>
    </w:p>
    <w:p w:rsidR="00A763C1" w:rsidRDefault="00A763C1" w:rsidP="008D7582">
      <w:pPr>
        <w:ind w:firstLine="709"/>
        <w:jc w:val="both"/>
      </w:pPr>
      <w:r>
        <w:t>Раздел «</w:t>
      </w:r>
      <w:proofErr w:type="spellStart"/>
      <w:r>
        <w:t>Проценивать</w:t>
      </w:r>
      <w:proofErr w:type="spellEnd"/>
      <w:r>
        <w:t xml:space="preserve"> позиции»</w:t>
      </w:r>
    </w:p>
    <w:p w:rsidR="00A763C1" w:rsidRDefault="00A763C1" w:rsidP="008D7582">
      <w:pPr>
        <w:ind w:firstLine="709"/>
        <w:jc w:val="both"/>
      </w:pPr>
      <w:r>
        <w:t>При установке флажка «</w:t>
      </w:r>
      <w:proofErr w:type="spellStart"/>
      <w:r>
        <w:t>Проценивать</w:t>
      </w:r>
      <w:proofErr w:type="spellEnd"/>
      <w:r>
        <w:t xml:space="preserve"> позиции», после получения </w:t>
      </w:r>
      <w:proofErr w:type="spellStart"/>
      <w:r>
        <w:t>e-mail</w:t>
      </w:r>
      <w:proofErr w:type="spellEnd"/>
      <w:r>
        <w:t xml:space="preserve"> и создания заказа клиента, этот заказ </w:t>
      </w:r>
      <w:proofErr w:type="spellStart"/>
      <w:r>
        <w:t>проценивается</w:t>
      </w:r>
      <w:proofErr w:type="spellEnd"/>
      <w:r>
        <w:t xml:space="preserve"> на сайте ABCP, и там же создаётся в виде заказа. Обработка, которая </w:t>
      </w:r>
      <w:proofErr w:type="spellStart"/>
      <w:r>
        <w:t>проценивает</w:t>
      </w:r>
      <w:proofErr w:type="spellEnd"/>
      <w:r>
        <w:t xml:space="preserve"> позиции и выгружает заказ на сайт, указывается в соответствующем реквизите.</w:t>
      </w:r>
    </w:p>
    <w:p w:rsidR="00A763C1" w:rsidRDefault="00A763C1" w:rsidP="008D7582">
      <w:pPr>
        <w:ind w:firstLine="709"/>
        <w:jc w:val="both"/>
      </w:pPr>
      <w:r>
        <w:t>Также задаются общие</w:t>
      </w:r>
      <w:r w:rsidR="00A83934">
        <w:t xml:space="preserve"> настройки </w:t>
      </w:r>
      <w:proofErr w:type="spellStart"/>
      <w:r w:rsidR="00A83934">
        <w:t>проценки</w:t>
      </w:r>
      <w:proofErr w:type="spellEnd"/>
      <w:r w:rsidR="00A83934">
        <w:t xml:space="preserve"> «Максимальное отклонение цены» - если цена поставщика выше цены клиента, или </w:t>
      </w:r>
      <w:r w:rsidR="00F264B6">
        <w:t xml:space="preserve">недостаточно низкая (продажа в убыток), то эта деталь не </w:t>
      </w:r>
      <w:proofErr w:type="spellStart"/>
      <w:r w:rsidR="00F264B6">
        <w:t>проценивается</w:t>
      </w:r>
      <w:proofErr w:type="spellEnd"/>
      <w:r w:rsidR="00F264B6">
        <w:t xml:space="preserve">, и </w:t>
      </w:r>
      <w:r w:rsidR="00F264B6">
        <w:lastRenderedPageBreak/>
        <w:t>ставится статус «Отменено», при этом в причине отмены ставится значение из реквизита «Причина отмены отклонение цены».</w:t>
      </w:r>
    </w:p>
    <w:p w:rsidR="00F264B6" w:rsidRDefault="00F264B6" w:rsidP="008D7582">
      <w:pPr>
        <w:ind w:firstLine="709"/>
        <w:jc w:val="both"/>
      </w:pPr>
      <w:r>
        <w:t>Если ни у кого из поставщиков нет этой детали, тогда ставится значение из реквизита «Причина отмены нет поставщика»</w:t>
      </w:r>
      <w:r w:rsidR="00CE4DF8">
        <w:t>.</w:t>
      </w:r>
    </w:p>
    <w:p w:rsidR="00CE4DF8" w:rsidRDefault="00CE4DF8" w:rsidP="008D7582">
      <w:pPr>
        <w:ind w:firstLine="709"/>
        <w:jc w:val="both"/>
      </w:pPr>
      <w:r>
        <w:t xml:space="preserve">Кнопка «Проверить открытие </w:t>
      </w:r>
      <w:proofErr w:type="spellStart"/>
      <w:r>
        <w:t>проценки</w:t>
      </w:r>
      <w:proofErr w:type="spellEnd"/>
      <w:r>
        <w:t xml:space="preserve">» нажимается после обновления файла обработки по </w:t>
      </w:r>
      <w:proofErr w:type="spellStart"/>
      <w:r>
        <w:t>проценке</w:t>
      </w:r>
      <w:proofErr w:type="spellEnd"/>
      <w:r>
        <w:t xml:space="preserve">. Если не нажать, тогда на сервере </w:t>
      </w:r>
      <w:proofErr w:type="gramStart"/>
      <w:r>
        <w:t>будет обработка не</w:t>
      </w:r>
      <w:proofErr w:type="gramEnd"/>
      <w:r>
        <w:t xml:space="preserve"> будет открываться, так как не будет разреш</w:t>
      </w:r>
      <w:r w:rsidR="00427349">
        <w:t>ения на открытие этой обработки, которое может сделать только пользователь интерактивно.</w:t>
      </w:r>
    </w:p>
    <w:p w:rsidR="00A763C1" w:rsidRPr="00A763C1" w:rsidRDefault="00A763C1" w:rsidP="008D7582">
      <w:pPr>
        <w:ind w:firstLine="709"/>
        <w:jc w:val="both"/>
      </w:pPr>
      <w:r>
        <w:t xml:space="preserve">«Отладка» - при установке флажка в окне сообщений выводятся </w:t>
      </w:r>
      <w:proofErr w:type="gramStart"/>
      <w:r>
        <w:t>комментарии действий</w:t>
      </w:r>
      <w:proofErr w:type="gramEnd"/>
      <w:r>
        <w:t xml:space="preserve"> обработки. Служит для поиска возможных ошибок.</w:t>
      </w:r>
    </w:p>
    <w:p w:rsidR="00D47091" w:rsidRDefault="00D47091" w:rsidP="008D7582">
      <w:pPr>
        <w:ind w:firstLine="709"/>
        <w:jc w:val="both"/>
      </w:pPr>
      <w:r>
        <w:t xml:space="preserve">В отдельной таблице </w:t>
      </w:r>
      <w:r w:rsidR="00A763C1">
        <w:t xml:space="preserve">(в окне справа) </w:t>
      </w:r>
      <w:r>
        <w:t>заполняется список отправителей, письма от которых не надо загружать.</w:t>
      </w:r>
    </w:p>
    <w:p w:rsidR="00CE4DF8" w:rsidRDefault="008D7582" w:rsidP="00CE4DF8">
      <w:pPr>
        <w:ind w:firstLine="709"/>
        <w:jc w:val="both"/>
      </w:pPr>
      <w:r>
        <w:t>После всех изменений необходимо сохранять настройки.</w:t>
      </w:r>
      <w:r w:rsidR="00CE4DF8">
        <w:t xml:space="preserve"> Также настройки можно сохранить в текстовый файл, чтобы на другой базе (копии или наоборот) загрузить их.</w:t>
      </w:r>
    </w:p>
    <w:p w:rsidR="002F0B16" w:rsidRDefault="002F0B16" w:rsidP="002F0B16">
      <w:pPr>
        <w:pStyle w:val="1"/>
      </w:pPr>
      <w:r>
        <w:t>Настройка загрузки.</w:t>
      </w:r>
    </w:p>
    <w:p w:rsidR="002F0B16" w:rsidRDefault="002F0B16" w:rsidP="002F0B16">
      <w:pPr>
        <w:ind w:firstLine="709"/>
        <w:jc w:val="both"/>
      </w:pPr>
      <w:r>
        <w:t xml:space="preserve">На соответствующей закладке задаётся соответствие </w:t>
      </w:r>
      <w:proofErr w:type="spellStart"/>
      <w:r>
        <w:t>E-mail</w:t>
      </w:r>
      <w:proofErr w:type="spellEnd"/>
      <w:r>
        <w:t xml:space="preserve"> и контрагента, </w:t>
      </w:r>
      <w:r w:rsidR="00BE0BF1">
        <w:t xml:space="preserve">партнера, договора, </w:t>
      </w:r>
      <w:r>
        <w:t xml:space="preserve">папки на </w:t>
      </w:r>
      <w:r>
        <w:rPr>
          <w:lang w:val="en-US"/>
        </w:rPr>
        <w:t>IMAP</w:t>
      </w:r>
      <w:r w:rsidRPr="002F0B16">
        <w:t>-</w:t>
      </w:r>
      <w:r>
        <w:t>сервере, где хранятся письма. Важно задать параметры таблицы, которая анализируется во вложении – начальная строка, с которой начинаются данные, колонки с артикулом, производителем, названием, количеством, суммой</w:t>
      </w:r>
    </w:p>
    <w:p w:rsidR="002F0B16" w:rsidRDefault="00F56954" w:rsidP="002F0B1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132592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54" w:rsidRDefault="00F56954" w:rsidP="002F0B16">
      <w:pPr>
        <w:jc w:val="both"/>
      </w:pPr>
      <w:r>
        <w:t xml:space="preserve">По кнопке «Показать соответствие колонок» выводится окно с соответствием номеров колонок табличных документов и букв в документе </w:t>
      </w:r>
      <w:proofErr w:type="spellStart"/>
      <w:r>
        <w:t>Excel</w:t>
      </w:r>
      <w:proofErr w:type="spellEnd"/>
      <w: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7195"/>
      </w:tblGrid>
      <w:tr w:rsidR="00F56954" w:rsidTr="00F56954">
        <w:tc>
          <w:tcPr>
            <w:tcW w:w="2376" w:type="dxa"/>
          </w:tcPr>
          <w:p w:rsidR="00F56954" w:rsidRDefault="00F56954" w:rsidP="002F0B16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3641" cy="1501254"/>
                  <wp:effectExtent l="19050" t="0" r="7459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501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F56954" w:rsidRDefault="00F56954" w:rsidP="002F0B16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89607" cy="1501254"/>
                  <wp:effectExtent l="19050" t="0" r="0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958" cy="1501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954" w:rsidRDefault="00F56954" w:rsidP="002F0B16">
      <w:pPr>
        <w:jc w:val="both"/>
      </w:pPr>
      <w:r>
        <w:lastRenderedPageBreak/>
        <w:t xml:space="preserve">Также можно в открытом документе </w:t>
      </w:r>
      <w:proofErr w:type="spellStart"/>
      <w:r>
        <w:t>Excel</w:t>
      </w:r>
      <w:proofErr w:type="spellEnd"/>
      <w:r>
        <w:t xml:space="preserve"> изменить параметры</w:t>
      </w:r>
      <w:r w:rsidR="00CE4DF8">
        <w:t>, чтобы в заголовках колонок были цифры</w:t>
      </w:r>
      <w:r>
        <w:t>:</w:t>
      </w:r>
    </w:p>
    <w:p w:rsidR="00F56954" w:rsidRPr="00F56954" w:rsidRDefault="00F56954" w:rsidP="002F0B16">
      <w:pPr>
        <w:jc w:val="both"/>
      </w:pPr>
      <w:r>
        <w:rPr>
          <w:noProof/>
          <w:lang w:eastAsia="ru-RU"/>
        </w:rPr>
        <w:drawing>
          <wp:inline distT="0" distB="0" distL="0" distR="0">
            <wp:extent cx="4106169" cy="2347415"/>
            <wp:effectExtent l="19050" t="0" r="8631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465" cy="234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54" w:rsidRDefault="00F56954" w:rsidP="002F0B16">
      <w:pPr>
        <w:jc w:val="both"/>
      </w:pPr>
      <w:r>
        <w:t xml:space="preserve">При двойном нажатии на строку с </w:t>
      </w:r>
      <w:r w:rsidR="003100F4">
        <w:t>таблицы</w:t>
      </w:r>
      <w:r>
        <w:t xml:space="preserve"> открывается форма</w:t>
      </w:r>
      <w:r w:rsidR="003100F4">
        <w:t xml:space="preserve"> для более удобной настройки соответствия данных письма </w:t>
      </w:r>
      <w:proofErr w:type="spellStart"/>
      <w:r w:rsidR="003100F4">
        <w:t>E-mail</w:t>
      </w:r>
      <w:proofErr w:type="spellEnd"/>
      <w:r w:rsidR="003100F4">
        <w:t>, колонок вложения, данных контрагента, вид создаваемого документа:</w:t>
      </w:r>
    </w:p>
    <w:p w:rsidR="003100F4" w:rsidRPr="003100F4" w:rsidRDefault="003100F4" w:rsidP="002F0B16">
      <w:pPr>
        <w:jc w:val="both"/>
      </w:pPr>
      <w:r>
        <w:rPr>
          <w:noProof/>
          <w:lang w:eastAsia="ru-RU"/>
        </w:rPr>
        <w:drawing>
          <wp:inline distT="0" distB="0" distL="0" distR="0">
            <wp:extent cx="5467350" cy="3909030"/>
            <wp:effectExtent l="19050" t="0" r="0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974" cy="391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54" w:rsidRDefault="003100F4" w:rsidP="002F0B16">
      <w:pPr>
        <w:jc w:val="both"/>
      </w:pPr>
      <w:r>
        <w:t>«Игнорировать» – при установке этого флажка письма от этого контрагента не будут обрабатываться.</w:t>
      </w:r>
    </w:p>
    <w:p w:rsidR="003100F4" w:rsidRPr="003100F4" w:rsidRDefault="003100F4" w:rsidP="002F0B16">
      <w:pPr>
        <w:jc w:val="both"/>
      </w:pPr>
      <w:r>
        <w:t>«</w:t>
      </w:r>
      <w:r>
        <w:rPr>
          <w:lang w:val="en-US"/>
        </w:rPr>
        <w:t>E</w:t>
      </w:r>
      <w:r w:rsidRPr="003100F4">
        <w:t>-</w:t>
      </w:r>
      <w:r>
        <w:rPr>
          <w:lang w:val="en-US"/>
        </w:rPr>
        <w:t>mail</w:t>
      </w:r>
      <w:r>
        <w:t>»</w:t>
      </w:r>
      <w:r w:rsidRPr="003100F4">
        <w:t xml:space="preserve"> – настройки </w:t>
      </w:r>
      <w:r>
        <w:t>применяются к письму с этого адреса</w:t>
      </w:r>
    </w:p>
    <w:p w:rsidR="003100F4" w:rsidRDefault="003100F4" w:rsidP="002F0B16">
      <w:pPr>
        <w:jc w:val="both"/>
      </w:pPr>
      <w:r>
        <w:lastRenderedPageBreak/>
        <w:t>«Контрагент», «Партнер», «Договор», «Соглашение» – контрагент, клиент, договор, соглашение которые будет заполняться в шапку создаваемого в 1С документа.</w:t>
      </w:r>
    </w:p>
    <w:p w:rsidR="003100F4" w:rsidRDefault="003100F4" w:rsidP="003100F4">
      <w:pPr>
        <w:jc w:val="both"/>
      </w:pPr>
      <w:r>
        <w:t>«</w:t>
      </w:r>
      <w:r w:rsidR="007D39DC" w:rsidRPr="007D39DC">
        <w:t>Обработанные → прочитаны</w:t>
      </w:r>
      <w:r>
        <w:t xml:space="preserve">» - при получении письма отправлять команду серверу IMAP, для </w:t>
      </w:r>
      <w:r w:rsidR="007D39DC">
        <w:t>установки</w:t>
      </w:r>
      <w:r>
        <w:t xml:space="preserve"> с письма признака того, что оно прочитано</w:t>
      </w:r>
      <w:r w:rsidRPr="003100F4">
        <w:t xml:space="preserve">. </w:t>
      </w:r>
      <w:r>
        <w:t xml:space="preserve">Это может быть полезно, когда почтовый ящик просматривают через web-интерфейс, чтобы фильтровать только непрочитанные письма. </w:t>
      </w:r>
      <w:r w:rsidR="007D39DC">
        <w:t>Обработанные письма будут с признаком «Прочитано».</w:t>
      </w:r>
    </w:p>
    <w:p w:rsidR="003100F4" w:rsidRDefault="003100F4" w:rsidP="003100F4">
      <w:pPr>
        <w:jc w:val="both"/>
      </w:pPr>
      <w:r>
        <w:t>Раздел «Обработка письма»</w:t>
      </w:r>
    </w:p>
    <w:p w:rsidR="003100F4" w:rsidRDefault="003100F4" w:rsidP="003100F4">
      <w:pPr>
        <w:jc w:val="both"/>
      </w:pPr>
      <w:r>
        <w:t>«Отбор по ключам темы» - если установлен, кроме адреса отправителя (реквизит «</w:t>
      </w:r>
      <w:proofErr w:type="spellStart"/>
      <w:r>
        <w:t>E-mail</w:t>
      </w:r>
      <w:proofErr w:type="spellEnd"/>
      <w:r>
        <w:t>») также проверяется наличие нужного текста в теме письма (например «заказ», «срочно» и т.п.)</w:t>
      </w:r>
    </w:p>
    <w:p w:rsidR="003100F4" w:rsidRDefault="003100F4" w:rsidP="003100F4">
      <w:pPr>
        <w:jc w:val="both"/>
      </w:pPr>
      <w:r>
        <w:t>«Фрагмент темы письма» - при установке предыдущего флажка заполняется нужный текст. Например, если от контрагента приходят письма, с разной темой письма, то можно отфильтровать те письма, которые нужно обрабатывать.</w:t>
      </w:r>
    </w:p>
    <w:p w:rsidR="003100F4" w:rsidRDefault="003100F4" w:rsidP="003100F4">
      <w:pPr>
        <w:jc w:val="both"/>
      </w:pPr>
      <w:r>
        <w:t>«Фрагмент текста письма» - обрабатывать только те письма, в тексте которых встречается указанный в этом реквизите текст.</w:t>
      </w:r>
    </w:p>
    <w:p w:rsidR="003A0160" w:rsidRDefault="003A0160" w:rsidP="003100F4">
      <w:pPr>
        <w:jc w:val="both"/>
      </w:pPr>
      <w:r>
        <w:t>«Фрагмент наименования файла» - обрабатывать только те письма, у которых вложение имеет определенное имя, например «</w:t>
      </w:r>
      <w:r>
        <w:rPr>
          <w:lang w:val="en-US"/>
        </w:rPr>
        <w:t>order</w:t>
      </w:r>
      <w:r>
        <w:t>», «заказ» и т.п.</w:t>
      </w:r>
    </w:p>
    <w:p w:rsidR="003A6A22" w:rsidRPr="003A0160" w:rsidRDefault="003A6A22" w:rsidP="003A6A22">
      <w:pPr>
        <w:jc w:val="both"/>
      </w:pPr>
      <w:r>
        <w:t>Раздел «Колонки файла»</w:t>
      </w:r>
    </w:p>
    <w:p w:rsidR="003A6A22" w:rsidRDefault="00007470" w:rsidP="003100F4">
      <w:pPr>
        <w:jc w:val="both"/>
      </w:pPr>
      <w:r>
        <w:t>«Артикул» - задаётся № колонки, в которой содержится артикул</w:t>
      </w:r>
    </w:p>
    <w:p w:rsidR="00007470" w:rsidRDefault="00007470" w:rsidP="00007470">
      <w:pPr>
        <w:jc w:val="both"/>
      </w:pPr>
      <w:r>
        <w:t>«Производитель» - задаётся № колонки, в которой содержится бренд</w:t>
      </w:r>
    </w:p>
    <w:p w:rsidR="00007470" w:rsidRDefault="00007470" w:rsidP="00007470">
      <w:pPr>
        <w:jc w:val="both"/>
      </w:pPr>
      <w:r>
        <w:t>«Наименование» - задаётся № колонки с наименованием товара</w:t>
      </w:r>
    </w:p>
    <w:p w:rsidR="00007470" w:rsidRDefault="00007470" w:rsidP="00007470">
      <w:pPr>
        <w:jc w:val="both"/>
      </w:pPr>
      <w:r>
        <w:t>«Количество» - задаётся № колонки с количеством</w:t>
      </w:r>
    </w:p>
    <w:p w:rsidR="00007470" w:rsidRDefault="00007470" w:rsidP="00007470">
      <w:pPr>
        <w:jc w:val="both"/>
      </w:pPr>
      <w:r>
        <w:t>«Цена» - задаётся № колонки с ценой</w:t>
      </w:r>
    </w:p>
    <w:p w:rsidR="00007470" w:rsidRDefault="00007470" w:rsidP="00007470">
      <w:pPr>
        <w:jc w:val="both"/>
      </w:pPr>
      <w:r>
        <w:t>«Сумма НДС» - задаётся № колонки с суммой НДС (если есть)</w:t>
      </w:r>
    </w:p>
    <w:p w:rsidR="00007470" w:rsidRDefault="00007470" w:rsidP="00007470">
      <w:pPr>
        <w:jc w:val="both"/>
      </w:pPr>
      <w:r>
        <w:t>«с НДС» - признак учета НДС</w:t>
      </w:r>
    </w:p>
    <w:p w:rsidR="00007470" w:rsidRDefault="00007470" w:rsidP="00007470">
      <w:pPr>
        <w:jc w:val="both"/>
      </w:pPr>
      <w:r>
        <w:t xml:space="preserve">«Начальная </w:t>
      </w:r>
      <w:proofErr w:type="gramStart"/>
      <w:r>
        <w:t>строка</w:t>
      </w:r>
      <w:proofErr w:type="gramEnd"/>
      <w:r>
        <w:t>» - с какой строки файла начинать импорт данных</w:t>
      </w:r>
    </w:p>
    <w:p w:rsidR="00007470" w:rsidRDefault="00007470" w:rsidP="00007470">
      <w:pPr>
        <w:jc w:val="both"/>
      </w:pPr>
      <w:r>
        <w:t>«Конечная строка» - обычно «0», так как количество строк меняется</w:t>
      </w:r>
    </w:p>
    <w:p w:rsidR="00007470" w:rsidRDefault="00007470" w:rsidP="00007470">
      <w:pPr>
        <w:jc w:val="both"/>
      </w:pPr>
      <w:r>
        <w:t>«Закончить импорт по незаполненной колонке» - если «0», то импорт заканчивается, если в колонке с артикулом ничего нет. Если не «0», то проверяется заданная колонка, если в ней ничего нет, импорт прекращается.</w:t>
      </w:r>
    </w:p>
    <w:p w:rsidR="003A6A22" w:rsidRDefault="003A6A22" w:rsidP="003100F4">
      <w:pPr>
        <w:jc w:val="both"/>
      </w:pPr>
      <w:r>
        <w:lastRenderedPageBreak/>
        <w:t xml:space="preserve">Раздел «Настройка </w:t>
      </w:r>
      <w:proofErr w:type="spellStart"/>
      <w:r>
        <w:t>проценки</w:t>
      </w:r>
      <w:proofErr w:type="spellEnd"/>
      <w:r>
        <w:t>»</w:t>
      </w:r>
    </w:p>
    <w:p w:rsidR="003A6A22" w:rsidRDefault="005A5629" w:rsidP="003100F4">
      <w:pPr>
        <w:jc w:val="both"/>
      </w:pPr>
      <w:proofErr w:type="gramStart"/>
      <w:r>
        <w:t xml:space="preserve">Необходим для корректной выгрузки документа на сайт после </w:t>
      </w:r>
      <w:proofErr w:type="spellStart"/>
      <w:r>
        <w:t>проценки</w:t>
      </w:r>
      <w:proofErr w:type="spellEnd"/>
      <w:r>
        <w:t>.</w:t>
      </w:r>
      <w:proofErr w:type="gramEnd"/>
    </w:p>
    <w:p w:rsidR="005A5629" w:rsidRDefault="005A5629" w:rsidP="003100F4">
      <w:pPr>
        <w:jc w:val="both"/>
      </w:pPr>
      <w:r>
        <w:t xml:space="preserve">«Максимальный срок доставки» - не </w:t>
      </w:r>
      <w:proofErr w:type="spellStart"/>
      <w:r>
        <w:t>проценивать</w:t>
      </w:r>
      <w:proofErr w:type="spellEnd"/>
      <w:r>
        <w:t xml:space="preserve"> позиции, у которых срок доставки больше заданного (0 – не контролировать срок).</w:t>
      </w:r>
    </w:p>
    <w:p w:rsidR="005A5629" w:rsidRDefault="00A763C1" w:rsidP="003100F4">
      <w:pPr>
        <w:jc w:val="both"/>
      </w:pPr>
      <w:r>
        <w:t xml:space="preserve">«Идентификатор контрагента» - </w:t>
      </w:r>
      <w:proofErr w:type="spellStart"/>
      <w:r>
        <w:t>ид</w:t>
      </w:r>
      <w:proofErr w:type="gramStart"/>
      <w:r>
        <w:t>.к</w:t>
      </w:r>
      <w:proofErr w:type="gramEnd"/>
      <w:r>
        <w:t>онтрагента</w:t>
      </w:r>
      <w:proofErr w:type="spellEnd"/>
      <w:r>
        <w:t xml:space="preserve"> на сайте ABCP, к которому будет привязан выгружаемый заказ.</w:t>
      </w:r>
    </w:p>
    <w:p w:rsidR="00A763C1" w:rsidRDefault="00A763C1" w:rsidP="003100F4">
      <w:pPr>
        <w:jc w:val="both"/>
      </w:pPr>
      <w:r>
        <w:t xml:space="preserve">«Профиль на сайте» - </w:t>
      </w:r>
      <w:proofErr w:type="spellStart"/>
      <w:r>
        <w:t>ид</w:t>
      </w:r>
      <w:proofErr w:type="gramStart"/>
      <w:r>
        <w:t>.п</w:t>
      </w:r>
      <w:proofErr w:type="gramEnd"/>
      <w:r>
        <w:t>рофиля</w:t>
      </w:r>
      <w:proofErr w:type="spellEnd"/>
      <w:r>
        <w:t xml:space="preserve"> на сайте, под которым будет проводиться </w:t>
      </w:r>
      <w:proofErr w:type="spellStart"/>
      <w:r>
        <w:t>проценка</w:t>
      </w:r>
      <w:proofErr w:type="spellEnd"/>
      <w:r>
        <w:t xml:space="preserve"> (к разным профилям могут применены разные наценки и скидки, а также привязаны разные поставщики) Если не задан, </w:t>
      </w:r>
      <w:proofErr w:type="spellStart"/>
      <w:r>
        <w:t>проценка</w:t>
      </w:r>
      <w:proofErr w:type="spellEnd"/>
      <w:r>
        <w:t xml:space="preserve"> ведётся под профилем администратора.</w:t>
      </w:r>
    </w:p>
    <w:p w:rsidR="00A763C1" w:rsidRDefault="00A763C1" w:rsidP="003100F4">
      <w:pPr>
        <w:jc w:val="both"/>
      </w:pPr>
      <w:r>
        <w:t xml:space="preserve">«Код </w:t>
      </w:r>
      <w:proofErr w:type="gramStart"/>
      <w:r>
        <w:t>статуса</w:t>
      </w:r>
      <w:proofErr w:type="gramEnd"/>
      <w:r>
        <w:t>» - какой код статуса будет у товаров выгруженного заказа («Новый», «В работе» и т.п.)</w:t>
      </w:r>
    </w:p>
    <w:p w:rsidR="00A763C1" w:rsidRPr="00A763C1" w:rsidRDefault="00A763C1" w:rsidP="003100F4">
      <w:pPr>
        <w:jc w:val="both"/>
      </w:pPr>
      <w:r>
        <w:t>«</w:t>
      </w:r>
      <w:proofErr w:type="gramStart"/>
      <w:r>
        <w:t>Характеристика</w:t>
      </w:r>
      <w:proofErr w:type="gramEnd"/>
      <w:r>
        <w:t>» - какую характеристику присваивать номенклатуре в выгружаемом заказе (если у этого вида номенклатуры есть характеристики).</w:t>
      </w:r>
    </w:p>
    <w:p w:rsidR="003A6A22" w:rsidRDefault="003A6A22" w:rsidP="003A6A22">
      <w:pPr>
        <w:jc w:val="both"/>
      </w:pPr>
      <w:r>
        <w:t>Раздел «Создание документов»</w:t>
      </w:r>
    </w:p>
    <w:p w:rsidR="003A6A22" w:rsidRPr="003A0160" w:rsidRDefault="003A6A22" w:rsidP="003A6A22">
      <w:pPr>
        <w:jc w:val="both"/>
      </w:pPr>
      <w:r>
        <w:t>В зависимости от флажка в 1С создаётся документ «Заказ клиента», «Приобретение товаров и услуг» (пока не реализовано), «Реализация товаров и услуг»</w:t>
      </w:r>
      <w:r w:rsidRPr="003A6A22">
        <w:t xml:space="preserve"> </w:t>
      </w:r>
      <w:r>
        <w:t>(пока не реализовано).</w:t>
      </w:r>
    </w:p>
    <w:p w:rsidR="00C54600" w:rsidRDefault="00C54600" w:rsidP="00C54600">
      <w:pPr>
        <w:pStyle w:val="1"/>
      </w:pPr>
      <w:r>
        <w:t>Обработка писем.</w:t>
      </w:r>
    </w:p>
    <w:p w:rsidR="00C54600" w:rsidRDefault="00C54600" w:rsidP="00C54600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174664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600" w:rsidRDefault="00C54600" w:rsidP="00C54600">
      <w:pPr>
        <w:ind w:firstLine="709"/>
        <w:jc w:val="both"/>
      </w:pPr>
      <w:r>
        <w:t>На основной закладке можно получить и обработать все письма по кнопке «Обработать все письма». Для отладки можно получить только заголовки писем. Это удобно делать для получения идентификатора нужного письма.</w:t>
      </w:r>
    </w:p>
    <w:p w:rsidR="00C54600" w:rsidRDefault="00C54600" w:rsidP="00C54600">
      <w:pPr>
        <w:ind w:firstLine="709"/>
        <w:jc w:val="both"/>
      </w:pPr>
      <w:r>
        <w:t>Затем идентификатор вносится в соответствующее поле, по нему можно получить письмо с вложением и обработать вложение по кнопке «Обработать текущее вложение»</w:t>
      </w:r>
      <w:r w:rsidRPr="00C54600">
        <w:t>.</w:t>
      </w:r>
    </w:p>
    <w:p w:rsidR="00D820AF" w:rsidRPr="00C54600" w:rsidRDefault="00D820AF" w:rsidP="00C54600">
      <w:pPr>
        <w:ind w:firstLine="709"/>
        <w:jc w:val="both"/>
      </w:pPr>
      <w:r>
        <w:t xml:space="preserve">Если до этого не были сопоставлены колонки для загрузки, можно нажать кнопку «Открыть вложение из 1С», и сопоставить колонки в соответствии с загруженным файлом. Если некорректно сопоставить </w:t>
      </w:r>
      <w:r>
        <w:lastRenderedPageBreak/>
        <w:t>колонки, то у новой номенклатуры будут «кривые» артикулы, наименования и т.п.</w:t>
      </w:r>
    </w:p>
    <w:p w:rsidR="00C54600" w:rsidRDefault="00C54600" w:rsidP="00C54600">
      <w:pPr>
        <w:ind w:firstLine="709"/>
        <w:jc w:val="both"/>
      </w:pPr>
      <w:r>
        <w:t>После этого текущее вложение обрабатывается согласно настройкам и активизируется закладка «Товары»</w:t>
      </w:r>
      <w:r w:rsidR="00D820AF">
        <w:t>,</w:t>
      </w:r>
      <w:r>
        <w:t xml:space="preserve"> на которой можно проверить корректность получения данных.</w:t>
      </w:r>
    </w:p>
    <w:p w:rsidR="00304AAF" w:rsidRDefault="00FA5373" w:rsidP="00C54600">
      <w:pPr>
        <w:ind w:firstLine="709"/>
        <w:jc w:val="both"/>
      </w:pPr>
      <w:r>
        <w:t>Также создаётся и проводится заказ клиента с загруженными товарами.</w:t>
      </w:r>
      <w:r w:rsidR="00304AAF">
        <w:t xml:space="preserve"> При этом</w:t>
      </w:r>
      <w:proofErr w:type="gramStart"/>
      <w:r w:rsidR="00304AAF">
        <w:t>,</w:t>
      </w:r>
      <w:proofErr w:type="gramEnd"/>
      <w:r w:rsidR="00304AAF">
        <w:t xml:space="preserve"> </w:t>
      </w:r>
      <w:r w:rsidR="005D4F54">
        <w:t xml:space="preserve">исходный </w:t>
      </w:r>
      <w:r w:rsidR="00304AAF">
        <w:t>файл из вложения прикрепляется к заказу:</w:t>
      </w:r>
    </w:p>
    <w:p w:rsidR="00304AAF" w:rsidRDefault="00304AAF" w:rsidP="00304AA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836606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600" w:rsidRDefault="00C54600" w:rsidP="00C54600">
      <w:pPr>
        <w:ind w:firstLine="709"/>
        <w:jc w:val="both"/>
      </w:pPr>
      <w:r>
        <w:t>По кнопке «Открыть вложение» можно открыть файл из письма для анализа и заполнения настроек от этого отправителя.</w:t>
      </w:r>
      <w:r w:rsidR="009A0BA9">
        <w:t xml:space="preserve"> Эта кнопка работает только на файловых версиях конфигурации УТ 11.</w:t>
      </w:r>
    </w:p>
    <w:p w:rsidR="009A0BA9" w:rsidRDefault="009A0BA9" w:rsidP="00C54600">
      <w:pPr>
        <w:ind w:firstLine="709"/>
        <w:jc w:val="both"/>
      </w:pPr>
      <w:r>
        <w:t>По кнопке «Открыть вложение из 1С» файл открывается средствами 1С</w:t>
      </w:r>
      <w:r w:rsidR="007C4044">
        <w:t>, обычно используется для сопоставления колонок и проверки того, что файл в электронном письме корректно открывается.</w:t>
      </w:r>
    </w:p>
    <w:p w:rsidR="007C4044" w:rsidRDefault="007C4044" w:rsidP="00C54600">
      <w:pPr>
        <w:ind w:firstLine="709"/>
        <w:jc w:val="both"/>
      </w:pPr>
      <w:r>
        <w:t xml:space="preserve">Замечено, что некоторые контрагенты присылают письма с вложениями, имеющими расширение «XLS» «XLSX», но с внутренним форматом, который не соответствует формату </w:t>
      </w:r>
      <w:proofErr w:type="spellStart"/>
      <w:r>
        <w:t>Excel</w:t>
      </w:r>
      <w:proofErr w:type="spellEnd"/>
      <w:r>
        <w:t xml:space="preserve">. 1С предприятие не может открывать такие файлы, поэтому обработка делает попытку обработать это вложение через создание на сервере </w:t>
      </w:r>
      <w:r>
        <w:rPr>
          <w:lang w:val="en-US"/>
        </w:rPr>
        <w:t>COM</w:t>
      </w:r>
      <w:r w:rsidRPr="007C4044">
        <w:t xml:space="preserve">-объекта  </w:t>
      </w:r>
      <w:r>
        <w:t>«</w:t>
      </w:r>
      <w:r>
        <w:rPr>
          <w:lang w:val="en-US"/>
        </w:rPr>
        <w:t>Excel</w:t>
      </w:r>
      <w:r>
        <w:t xml:space="preserve">» и последующего открытия файла через </w:t>
      </w:r>
      <w:proofErr w:type="spellStart"/>
      <w:r>
        <w:t>Excel</w:t>
      </w:r>
      <w:proofErr w:type="spellEnd"/>
      <w:r>
        <w:t xml:space="preserve">. </w:t>
      </w:r>
      <w:r w:rsidRPr="007C4044">
        <w:t>Т</w:t>
      </w:r>
      <w:r>
        <w:t xml:space="preserve">акая операция может быть сделана, если на сервере стоит </w:t>
      </w:r>
      <w:proofErr w:type="spellStart"/>
      <w:r>
        <w:t>Excel</w:t>
      </w:r>
      <w:proofErr w:type="spellEnd"/>
      <w:r>
        <w:t xml:space="preserve"> той же разрядность, что и 1С</w:t>
      </w:r>
      <w:proofErr w:type="gramStart"/>
      <w:r>
        <w:t>:П</w:t>
      </w:r>
      <w:proofErr w:type="gramEnd"/>
      <w:r>
        <w:t xml:space="preserve">редприятие, обычно 64-битное. Для 32-битных программ решение описано по ссылке: </w:t>
      </w:r>
      <w:r w:rsidRPr="007C4044">
        <w:t>https://infostart.ru/1c/articles/325873/</w:t>
      </w:r>
    </w:p>
    <w:p w:rsidR="007C4044" w:rsidRPr="007C4044" w:rsidRDefault="007C4044" w:rsidP="00C54600">
      <w:pPr>
        <w:ind w:firstLine="709"/>
        <w:jc w:val="both"/>
      </w:pPr>
    </w:p>
    <w:p w:rsidR="006F77F1" w:rsidRPr="006F77F1" w:rsidRDefault="006F77F1" w:rsidP="006F77F1">
      <w:pPr>
        <w:pStyle w:val="1"/>
      </w:pPr>
      <w:r w:rsidRPr="006F77F1">
        <w:t>Возможные проблемы и варианты решения</w:t>
      </w:r>
    </w:p>
    <w:p w:rsidR="00980C31" w:rsidRDefault="00980C31" w:rsidP="00C54600">
      <w:pPr>
        <w:ind w:firstLine="709"/>
        <w:jc w:val="both"/>
      </w:pPr>
      <w:r w:rsidRPr="00980C31">
        <w:t>Если</w:t>
      </w:r>
      <w:r w:rsidR="006F77F1">
        <w:t xml:space="preserve"> при загрузке писем обработка</w:t>
      </w:r>
      <w:r>
        <w:t xml:space="preserve"> выдаёт ошибку «</w:t>
      </w:r>
      <w:r w:rsidRPr="00980C31">
        <w:t>Произошла ошибка соединения с сервером при работе с IMAP. Код ошибки: 43 Ошибка установки защищенного SSL/TLS соединения</w:t>
      </w:r>
      <w:r>
        <w:t xml:space="preserve">», решение описано в </w:t>
      </w:r>
      <w:r w:rsidRPr="00980C31">
        <w:t>https://infostart.ru/1c/articles/1892304/</w:t>
      </w:r>
    </w:p>
    <w:p w:rsidR="00980C31" w:rsidRPr="00980C31" w:rsidRDefault="00980C31" w:rsidP="007D39DC">
      <w:pPr>
        <w:rPr>
          <w:lang w:val="en-US"/>
        </w:rPr>
      </w:pPr>
      <w:r>
        <w:lastRenderedPageBreak/>
        <w:t>В</w:t>
      </w:r>
      <w:r w:rsidRPr="00980C31">
        <w:rPr>
          <w:lang w:val="en-US"/>
        </w:rPr>
        <w:t xml:space="preserve"> conf.cfg </w:t>
      </w:r>
      <w:r>
        <w:t>добавить</w:t>
      </w:r>
      <w:r w:rsidRPr="00980C31">
        <w:rPr>
          <w:lang w:val="en-US"/>
        </w:rPr>
        <w:t xml:space="preserve"> </w:t>
      </w:r>
      <w:r>
        <w:t>опцию</w:t>
      </w:r>
      <w:r w:rsidRPr="00980C31">
        <w:rPr>
          <w:lang w:val="en-US"/>
        </w:rPr>
        <w:t xml:space="preserve"> </w:t>
      </w:r>
      <w:proofErr w:type="spellStart"/>
      <w:r w:rsidRPr="00980C31">
        <w:rPr>
          <w:lang w:val="en-US"/>
        </w:rPr>
        <w:t>IgnoreInternetMailServerCertificateVerificationList</w:t>
      </w:r>
      <w:proofErr w:type="spellEnd"/>
      <w:r w:rsidRPr="00980C31">
        <w:rPr>
          <w:lang w:val="en-US"/>
        </w:rPr>
        <w:t>:</w:t>
      </w:r>
    </w:p>
    <w:p w:rsidR="00980C31" w:rsidRPr="00980C31" w:rsidRDefault="00980C31" w:rsidP="00980C31">
      <w:pPr>
        <w:ind w:firstLine="709"/>
        <w:jc w:val="both"/>
        <w:rPr>
          <w:lang w:val="en-US"/>
        </w:rPr>
      </w:pPr>
      <w:r w:rsidRPr="00980C31">
        <w:rPr>
          <w:lang w:val="en-US"/>
        </w:rPr>
        <w:t>IgnoreInternetMailServerCertificateVerificationList=imap.gmail.com</w:t>
      </w:r>
      <w:proofErr w:type="gramStart"/>
      <w:r w:rsidRPr="00980C31">
        <w:rPr>
          <w:lang w:val="en-US"/>
        </w:rPr>
        <w:t>;smtp.gmail.com</w:t>
      </w:r>
      <w:proofErr w:type="gramEnd"/>
      <w:r w:rsidR="00427349" w:rsidRPr="00427349">
        <w:rPr>
          <w:lang w:val="en-US"/>
        </w:rPr>
        <w:t>;imap.mail.ru</w:t>
      </w:r>
    </w:p>
    <w:p w:rsidR="00980C31" w:rsidRDefault="009A0BA9" w:rsidP="00980C31">
      <w:pPr>
        <w:ind w:firstLine="709"/>
        <w:jc w:val="both"/>
      </w:pPr>
      <w:r>
        <w:t xml:space="preserve">В </w:t>
      </w:r>
      <w:proofErr w:type="spellStart"/>
      <w:r>
        <w:t>баг-</w:t>
      </w:r>
      <w:r w:rsidR="00980C31">
        <w:t>репорте</w:t>
      </w:r>
      <w:proofErr w:type="spellEnd"/>
      <w:r w:rsidR="00980C31">
        <w:t xml:space="preserve"> ошибка описана для почты </w:t>
      </w:r>
      <w:proofErr w:type="spellStart"/>
      <w:r w:rsidR="00980C31">
        <w:t>gmail</w:t>
      </w:r>
      <w:proofErr w:type="spellEnd"/>
      <w:r w:rsidR="00980C31">
        <w:t xml:space="preserve">,  но </w:t>
      </w:r>
      <w:r w:rsidR="003B52AE" w:rsidRPr="003B52AE">
        <w:t xml:space="preserve">может быть на </w:t>
      </w:r>
      <w:r w:rsidR="003B52AE">
        <w:rPr>
          <w:lang w:val="en-US"/>
        </w:rPr>
        <w:t>mail</w:t>
      </w:r>
      <w:r w:rsidR="003B52AE" w:rsidRPr="003B52AE">
        <w:t>.</w:t>
      </w:r>
      <w:proofErr w:type="spellStart"/>
      <w:r w:rsidR="003B52AE">
        <w:rPr>
          <w:lang w:val="en-US"/>
        </w:rPr>
        <w:t>ru</w:t>
      </w:r>
      <w:proofErr w:type="spellEnd"/>
      <w:r w:rsidR="003B52AE" w:rsidRPr="003B52AE">
        <w:t xml:space="preserve"> и </w:t>
      </w:r>
      <w:r w:rsidR="00980C31">
        <w:t>сво</w:t>
      </w:r>
      <w:r w:rsidR="003B52AE">
        <w:t>ём</w:t>
      </w:r>
      <w:r w:rsidR="00980C31">
        <w:t xml:space="preserve"> почтовый сервер, а </w:t>
      </w:r>
      <w:r w:rsidR="003B52AE">
        <w:t xml:space="preserve">хотя </w:t>
      </w:r>
      <w:proofErr w:type="spellStart"/>
      <w:r w:rsidR="00980C31">
        <w:t>Yandex.ru</w:t>
      </w:r>
      <w:proofErr w:type="spellEnd"/>
      <w:r w:rsidR="00980C31">
        <w:t xml:space="preserve">  ошибку не дает. </w:t>
      </w:r>
    </w:p>
    <w:p w:rsidR="00980C31" w:rsidRPr="00980C31" w:rsidRDefault="00980C31" w:rsidP="00980C31">
      <w:pPr>
        <w:ind w:firstLine="709"/>
        <w:jc w:val="both"/>
      </w:pPr>
      <w:r>
        <w:t xml:space="preserve">Файл  </w:t>
      </w:r>
      <w:proofErr w:type="spellStart"/>
      <w:r>
        <w:t>conf.cfg</w:t>
      </w:r>
      <w:proofErr w:type="spellEnd"/>
      <w:r>
        <w:t xml:space="preserve">  находится в папке C:\Program Files\1cv8\conf  (для 64 платформы).</w:t>
      </w:r>
    </w:p>
    <w:p w:rsidR="00980C31" w:rsidRPr="00980C31" w:rsidRDefault="00980C31" w:rsidP="00C54600">
      <w:pPr>
        <w:ind w:firstLine="709"/>
        <w:jc w:val="both"/>
      </w:pPr>
    </w:p>
    <w:p w:rsidR="00FD711E" w:rsidRPr="00F733CE" w:rsidRDefault="00FD711E" w:rsidP="00FD711E">
      <w:pPr>
        <w:pStyle w:val="1"/>
      </w:pPr>
      <w:bookmarkStart w:id="1" w:name="_Toc151290639"/>
      <w:r w:rsidRPr="00F733CE">
        <w:t>Контакты разработчика</w:t>
      </w:r>
      <w:bookmarkEnd w:id="1"/>
    </w:p>
    <w:p w:rsidR="00FD711E" w:rsidRPr="001B588C" w:rsidRDefault="00FD711E" w:rsidP="00FD711E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Б24, </w:t>
      </w:r>
      <w:proofErr w:type="spellStart"/>
      <w:r>
        <w:rPr>
          <w:lang w:val="en-US"/>
        </w:rPr>
        <w:t>amoCRM</w:t>
      </w:r>
      <w:proofErr w:type="spellEnd"/>
      <w:r>
        <w:t xml:space="preserve">, а также интеграции между различными, в том числе экзотическими информационными системами можно прочитать на сайте </w:t>
      </w:r>
      <w:hyperlink r:id="rId18" w:history="1">
        <w:r w:rsidRPr="0034011F">
          <w:rPr>
            <w:rStyle w:val="a5"/>
            <w:lang w:val="en-US"/>
          </w:rPr>
          <w:t>http</w:t>
        </w:r>
        <w:r w:rsidRPr="0034011F">
          <w:rPr>
            <w:rStyle w:val="a5"/>
          </w:rPr>
          <w:t>://1</w:t>
        </w:r>
        <w:r w:rsidRPr="0034011F">
          <w:rPr>
            <w:rStyle w:val="a5"/>
            <w:lang w:val="en-US"/>
          </w:rPr>
          <w:t>c</w:t>
        </w:r>
        <w:r w:rsidRPr="0034011F">
          <w:rPr>
            <w:rStyle w:val="a5"/>
          </w:rPr>
          <w:t>-</w:t>
        </w:r>
        <w:proofErr w:type="spellStart"/>
        <w:r w:rsidRPr="0034011F">
          <w:rPr>
            <w:rStyle w:val="a5"/>
            <w:lang w:val="en-US"/>
          </w:rPr>
          <w:t>abcp</w:t>
        </w:r>
        <w:proofErr w:type="spellEnd"/>
        <w:r w:rsidRPr="0034011F">
          <w:rPr>
            <w:rStyle w:val="a5"/>
          </w:rPr>
          <w:t>.</w:t>
        </w:r>
        <w:proofErr w:type="spellStart"/>
        <w:r w:rsidRPr="0034011F">
          <w:rPr>
            <w:rStyle w:val="a5"/>
            <w:lang w:val="en-US"/>
          </w:rPr>
          <w:t>ru</w:t>
        </w:r>
        <w:proofErr w:type="spellEnd"/>
      </w:hyperlink>
    </w:p>
    <w:p w:rsidR="00FD711E" w:rsidRPr="00177A1C" w:rsidRDefault="00FD711E" w:rsidP="00FD711E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proofErr w:type="spellStart"/>
      <w:r>
        <w:rPr>
          <w:lang w:val="en-US"/>
        </w:rPr>
        <w:t>whatsapp</w:t>
      </w:r>
      <w:proofErr w:type="spellEnd"/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FD711E" w:rsidRPr="00177A1C" w:rsidRDefault="00FD711E" w:rsidP="00FD711E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19" w:history="1">
        <w:r w:rsidRPr="0034011F">
          <w:rPr>
            <w:rStyle w:val="a5"/>
            <w:lang w:val="en-US"/>
          </w:rPr>
          <w:t>kserdyukov</w:t>
        </w:r>
        <w:r w:rsidRPr="00177A1C">
          <w:rPr>
            <w:rStyle w:val="a5"/>
          </w:rPr>
          <w:t>@</w:t>
        </w:r>
        <w:r w:rsidRPr="0034011F">
          <w:rPr>
            <w:rStyle w:val="a5"/>
            <w:lang w:val="en-US"/>
          </w:rPr>
          <w:t>mail</w:t>
        </w:r>
        <w:r w:rsidRPr="00177A1C">
          <w:rPr>
            <w:rStyle w:val="a5"/>
          </w:rPr>
          <w:t>.</w:t>
        </w:r>
        <w:r w:rsidRPr="0034011F">
          <w:rPr>
            <w:rStyle w:val="a5"/>
            <w:lang w:val="en-US"/>
          </w:rPr>
          <w:t>ru</w:t>
        </w:r>
      </w:hyperlink>
      <w:r w:rsidRPr="00177A1C">
        <w:t>.</w:t>
      </w:r>
    </w:p>
    <w:p w:rsidR="00FD711E" w:rsidRDefault="00FD711E"/>
    <w:sectPr w:rsidR="00FD711E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4090"/>
    <w:rsid w:val="00007470"/>
    <w:rsid w:val="001133B1"/>
    <w:rsid w:val="001B3234"/>
    <w:rsid w:val="002F0B16"/>
    <w:rsid w:val="00304AAF"/>
    <w:rsid w:val="003100F4"/>
    <w:rsid w:val="003A0160"/>
    <w:rsid w:val="003A6A22"/>
    <w:rsid w:val="003B52AE"/>
    <w:rsid w:val="00427349"/>
    <w:rsid w:val="005A5629"/>
    <w:rsid w:val="005D4F54"/>
    <w:rsid w:val="006C1F1D"/>
    <w:rsid w:val="006F77F1"/>
    <w:rsid w:val="00782870"/>
    <w:rsid w:val="007A184B"/>
    <w:rsid w:val="007C4044"/>
    <w:rsid w:val="007D39DC"/>
    <w:rsid w:val="008D7582"/>
    <w:rsid w:val="00980C31"/>
    <w:rsid w:val="009A0BA9"/>
    <w:rsid w:val="00A54156"/>
    <w:rsid w:val="00A763C1"/>
    <w:rsid w:val="00A83934"/>
    <w:rsid w:val="00AF4090"/>
    <w:rsid w:val="00BE0BF1"/>
    <w:rsid w:val="00C54600"/>
    <w:rsid w:val="00CC35CE"/>
    <w:rsid w:val="00CE4DF8"/>
    <w:rsid w:val="00D47091"/>
    <w:rsid w:val="00D674B3"/>
    <w:rsid w:val="00D820AF"/>
    <w:rsid w:val="00F25079"/>
    <w:rsid w:val="00F264B6"/>
    <w:rsid w:val="00F56954"/>
    <w:rsid w:val="00FA5373"/>
    <w:rsid w:val="00FD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90"/>
  </w:style>
  <w:style w:type="paragraph" w:styleId="1">
    <w:name w:val="heading 1"/>
    <w:basedOn w:val="a"/>
    <w:next w:val="a"/>
    <w:link w:val="10"/>
    <w:uiPriority w:val="9"/>
    <w:qFormat/>
    <w:rsid w:val="00AF4090"/>
    <w:pPr>
      <w:keepNext/>
      <w:spacing w:before="1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090"/>
    <w:rPr>
      <w:b/>
    </w:rPr>
  </w:style>
  <w:style w:type="paragraph" w:styleId="a3">
    <w:name w:val="Balloon Text"/>
    <w:basedOn w:val="a"/>
    <w:link w:val="a4"/>
    <w:uiPriority w:val="99"/>
    <w:semiHidden/>
    <w:unhideWhenUsed/>
    <w:rsid w:val="00AF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409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56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1c-abcp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help.mail.ru/mail/mailer/popsmtp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elp.mail.ru/mail/security/protection/external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yandex.ru/support/mail/mail-clients/others.html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kserdyukov@mail.r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2024-04-15T22:50:00Z</dcterms:created>
  <dcterms:modified xsi:type="dcterms:W3CDTF">2024-09-18T17:19:00Z</dcterms:modified>
</cp:coreProperties>
</file>